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2E" w:rsidRDefault="00947656">
      <w:pPr>
        <w:jc w:val="center"/>
        <w:rPr>
          <w:rFonts w:ascii="仿宋_GB2312" w:eastAsia="仿宋_GB2312" w:hAnsi="宋体"/>
          <w:b/>
          <w:bCs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sz w:val="36"/>
          <w:szCs w:val="36"/>
        </w:rPr>
        <w:t>河南工程学院毕业设计（论文）工作条例</w:t>
      </w:r>
    </w:p>
    <w:p w:rsidR="0056252E" w:rsidRDefault="00947656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仿宋_GB2312" w:eastAsia="仿宋_GB2312" w:hAnsi="宋体" w:hint="eastAsia"/>
          <w:b/>
          <w:bCs/>
          <w:sz w:val="36"/>
          <w:szCs w:val="36"/>
        </w:rPr>
        <w:t>（</w:t>
      </w:r>
      <w:r>
        <w:rPr>
          <w:rFonts w:ascii="仿宋_GB2312" w:eastAsia="仿宋_GB2312" w:hAnsi="宋体"/>
          <w:b/>
          <w:bCs/>
          <w:sz w:val="36"/>
          <w:szCs w:val="36"/>
        </w:rPr>
        <w:t>2015</w:t>
      </w:r>
      <w:r>
        <w:rPr>
          <w:rFonts w:ascii="仿宋_GB2312" w:eastAsia="仿宋_GB2312" w:hAnsi="宋体" w:hint="eastAsia"/>
          <w:b/>
          <w:bCs/>
          <w:sz w:val="36"/>
          <w:szCs w:val="36"/>
        </w:rPr>
        <w:t>年修订版</w:t>
      </w:r>
      <w:r>
        <w:rPr>
          <w:rFonts w:ascii="宋体" w:hAnsi="宋体" w:hint="eastAsia"/>
          <w:b/>
          <w:bCs/>
          <w:sz w:val="44"/>
          <w:szCs w:val="44"/>
        </w:rPr>
        <w:t>）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毕业设计（论文）的撰写不仅有助于学生巩固已学的基本理论和基本知识，而且是培养科学思维、科研能力和学术规范的重要环节，也是对学生综合能力和教学工作的检验。为提高我校人才培养质量，加强毕业设计（论文）工作的管理，特制定本条例。</w:t>
      </w:r>
    </w:p>
    <w:p w:rsidR="0056252E" w:rsidRDefault="00947656" w:rsidP="00361BA2">
      <w:pPr>
        <w:ind w:firstLineChars="200" w:firstLine="643"/>
        <w:outlineLvl w:val="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第一条　毕业设计（论文）工作程序及时间安排</w:t>
      </w:r>
    </w:p>
    <w:p w:rsidR="0056252E" w:rsidRDefault="00947656" w:rsidP="00361BA2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毕业设计（论文）工作安排在第四学年进行，主要包括选题、开题、资料准备（或实验）、毕业设计</w:t>
      </w:r>
      <w:r>
        <w:rPr>
          <w:rFonts w:ascii="仿宋_GB2312" w:eastAsia="仿宋_GB2312" w:hAnsi="宋体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论文</w:t>
      </w:r>
      <w:r>
        <w:rPr>
          <w:rFonts w:ascii="仿宋_GB2312" w:eastAsia="仿宋_GB2312" w:hAnsi="宋体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正文撰写、重复率检测、毕业答辩等程序，毕业设计（论文）周数按照人才培养方案执行。</w:t>
      </w:r>
    </w:p>
    <w:p w:rsidR="0056252E" w:rsidRDefault="00947656" w:rsidP="00361BA2">
      <w:pPr>
        <w:ind w:firstLineChars="200" w:firstLine="643"/>
        <w:outlineLvl w:val="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第二条　毕业设计（论文）的选题与开题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毕业设计（论文）的选题，应符合本专业培养目标要求。</w:t>
      </w:r>
      <w:r>
        <w:rPr>
          <w:rFonts w:ascii="仿宋_GB2312" w:eastAsia="仿宋_GB2312" w:hint="eastAsia"/>
          <w:color w:val="000000"/>
          <w:sz w:val="32"/>
          <w:szCs w:val="32"/>
        </w:rPr>
        <w:t>选题数应多于学生人数，以保证每人一题。</w:t>
      </w:r>
    </w:p>
    <w:p w:rsidR="0056252E" w:rsidRDefault="00947656" w:rsidP="00361BA2">
      <w:pPr>
        <w:ind w:firstLineChars="207" w:firstLine="66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毕业设计（论文）题目应尽可能与本学科发展的前沿和社会实际相结合，结合工程实际（科（教）研项目、实验、生产实习、工程实践）或社会实践（社会调查）的课题不少于</w:t>
      </w:r>
      <w:r>
        <w:rPr>
          <w:rFonts w:ascii="仿宋_GB2312" w:eastAsia="仿宋_GB2312" w:hAnsi="宋体"/>
          <w:sz w:val="32"/>
          <w:szCs w:val="32"/>
        </w:rPr>
        <w:t>60</w:t>
      </w:r>
      <w:r>
        <w:rPr>
          <w:rFonts w:ascii="仿宋_GB2312" w:eastAsia="仿宋_GB2312" w:hAnsi="宋体" w:hint="eastAsia"/>
          <w:sz w:val="32"/>
          <w:szCs w:val="32"/>
        </w:rPr>
        <w:t>％。</w:t>
      </w:r>
    </w:p>
    <w:p w:rsidR="0056252E" w:rsidRDefault="00947656" w:rsidP="00361BA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指导教师每年向院（部）提交《河南工程学院本科毕业设计（论文）课题申报表》（附表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），三年内的课题不允许重复。院（部）成立领导小组，聘请校外专家对指导教师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申报课题进行论证、评审，评审通过后组织学生选题。学生选定题目后，由指导教师下达《河南工程学院毕业设计（论文）任务书》（附表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）。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若数名学生同做一个课题，则必须在每个同学都参加总体设计的前提下，明确分工，保证每个学生有不同的专题，有各自独立完成的任务和不同的原始数据。</w:t>
      </w:r>
      <w:r>
        <w:rPr>
          <w:rFonts w:ascii="仿宋_GB2312" w:eastAsia="仿宋_GB2312" w:hAnsi="宋体" w:hint="eastAsia"/>
          <w:sz w:val="32"/>
          <w:szCs w:val="32"/>
        </w:rPr>
        <w:t>学生选定题目后，撰写开题报告，由指导教师审查、指导。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5.</w:t>
      </w:r>
      <w:r>
        <w:rPr>
          <w:rFonts w:ascii="仿宋_GB2312" w:eastAsia="仿宋_GB2312" w:hAnsi="宋体" w:hint="eastAsia"/>
          <w:sz w:val="32"/>
          <w:szCs w:val="32"/>
        </w:rPr>
        <w:t>院（部）组织成立开题答辩小组，由教研室组织学生开题答辩，并做好开题答辩记录（附表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）。学生根据开题答辩小组指导意见修改开题报告，完成开题报告定稿（附表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）。</w:t>
      </w:r>
    </w:p>
    <w:p w:rsidR="0056252E" w:rsidRDefault="00947656" w:rsidP="00361BA2">
      <w:pPr>
        <w:ind w:firstLineChars="200" w:firstLine="643"/>
        <w:outlineLvl w:val="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第三条</w:t>
      </w:r>
      <w:r>
        <w:rPr>
          <w:rFonts w:ascii="仿宋_GB2312" w:eastAsia="仿宋_GB2312" w:hAnsi="宋体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毕业设计（论文）的指导教师及其职责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毕业设计（论文）的指导教师应具有中级及以上专业技术职务或硕士学位。指导教师一经确定，不得随意更换。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每位指导教师指导学生人数原则上不能超过</w:t>
      </w:r>
      <w:r>
        <w:rPr>
          <w:rFonts w:ascii="仿宋_GB2312" w:eastAsia="仿宋_GB2312" w:hAnsi="宋体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人。</w:t>
      </w:r>
    </w:p>
    <w:p w:rsidR="0056252E" w:rsidRDefault="00947656" w:rsidP="00361BA2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指导教师每周至少指导学生一次，及时要求学生填写毕业设计（论文）指导记录（附表</w:t>
      </w: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），并签字确认。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指导教师应把重点放在培养学生的独立工作和创新能力方面，具体指导任务有：</w:t>
      </w:r>
    </w:p>
    <w:p w:rsidR="0056252E" w:rsidRDefault="00947656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（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）指导学生进行科学研究，并掌握科学研究的方法。</w:t>
      </w:r>
    </w:p>
    <w:p w:rsidR="0056252E" w:rsidRDefault="00947656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（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）指导学生收集与课题有关的资料。</w:t>
      </w:r>
    </w:p>
    <w:p w:rsidR="0056252E" w:rsidRDefault="00947656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（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）指导并审核学生的开题报告。</w:t>
      </w:r>
      <w:r>
        <w:rPr>
          <w:rFonts w:ascii="仿宋_GB2312" w:eastAsia="仿宋_GB2312" w:hAnsi="宋体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252E" w:rsidRDefault="00947656">
      <w:pPr>
        <w:numPr>
          <w:ilvl w:val="0"/>
          <w:numId w:val="1"/>
        </w:num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定期检查学生的论文进度并作相应的修改指导，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指导学生填写毕业设计（论文）中期检查表（附表</w:t>
      </w: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）。</w:t>
      </w:r>
    </w:p>
    <w:p w:rsidR="0056252E" w:rsidRDefault="00947656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）审阅学生毕业设计（论文），评定学生毕业设计（论文）成绩，给出评审意见，指导学生参加毕业答辩。</w:t>
      </w:r>
    </w:p>
    <w:p w:rsidR="0056252E" w:rsidRDefault="00947656" w:rsidP="00361BA2">
      <w:pPr>
        <w:ind w:firstLineChars="200" w:firstLine="643"/>
        <w:outlineLvl w:val="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第四条</w:t>
      </w:r>
      <w:r>
        <w:rPr>
          <w:rFonts w:ascii="仿宋_GB2312" w:eastAsia="仿宋_GB2312" w:hAnsi="宋体"/>
          <w:b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/>
          <w:sz w:val="32"/>
          <w:szCs w:val="32"/>
        </w:rPr>
        <w:t>毕业设计（论文）环节中对学生的要求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进行选题论证，撰写开题报告（不少于</w:t>
      </w:r>
      <w:r>
        <w:rPr>
          <w:rFonts w:ascii="仿宋_GB2312" w:eastAsia="仿宋_GB2312" w:hAnsi="宋体"/>
          <w:sz w:val="32"/>
          <w:szCs w:val="32"/>
        </w:rPr>
        <w:t>2000</w:t>
      </w:r>
      <w:r>
        <w:rPr>
          <w:rFonts w:ascii="仿宋_GB2312" w:eastAsia="仿宋_GB2312" w:hAnsi="宋体" w:hint="eastAsia"/>
          <w:sz w:val="32"/>
          <w:szCs w:val="32"/>
        </w:rPr>
        <w:t>字）。开题报告的内容包括：研究的背景、目的、意义，国内外文献综述、研究的主要内容和拟采用的研究方法、研究进度安排和主要参考文献等。经指导老师修改指导后提交开题答辩小组，参加开题答辩，开题报告通过者方能进入毕业设计（论文）撰写阶段。开题答辩通过的课题，需按审定后的《开题报告》执行，不得做实质性改变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按计划认真收集资料，采集数据，开展有关实验和调查报告，提高解决实际问题的能力。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毕业设计（论文）的内容要有一定的创新性或应用性。言之有理，持之有据，内容充实，材料可靠；论文的撰写符合学术规范。</w:t>
      </w:r>
    </w:p>
    <w:p w:rsidR="0056252E" w:rsidRDefault="00947656" w:rsidP="00361BA2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认真填写《河南工程学院本科毕业设计（论文）中期检查表》和《河南工程学院本科毕业设计（论文）指导记录表》。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5.</w:t>
      </w:r>
      <w:r>
        <w:rPr>
          <w:rFonts w:ascii="仿宋_GB2312" w:eastAsia="仿宋_GB2312" w:hAnsi="宋体" w:hint="eastAsia"/>
          <w:sz w:val="32"/>
          <w:szCs w:val="32"/>
        </w:rPr>
        <w:t>不得弄虚作假，不得剽窃他人成果，否则按照《河南工程学院毕业设计（论文）学术不端行为检测及处理规定》（豫工院教【</w:t>
      </w:r>
      <w:r>
        <w:rPr>
          <w:rFonts w:ascii="仿宋_GB2312" w:eastAsia="仿宋_GB2312" w:hAnsi="宋体"/>
          <w:sz w:val="32"/>
          <w:szCs w:val="32"/>
        </w:rPr>
        <w:t>2014</w:t>
      </w:r>
      <w:r>
        <w:rPr>
          <w:rFonts w:ascii="仿宋_GB2312" w:eastAsia="仿宋_GB2312" w:hAnsi="宋体" w:hint="eastAsia"/>
          <w:sz w:val="32"/>
          <w:szCs w:val="32"/>
        </w:rPr>
        <w:t>】</w:t>
      </w:r>
      <w:r>
        <w:rPr>
          <w:rFonts w:ascii="仿宋_GB2312" w:eastAsia="仿宋_GB2312" w:hAnsi="宋体"/>
          <w:sz w:val="32"/>
          <w:szCs w:val="32"/>
        </w:rPr>
        <w:t>119</w:t>
      </w:r>
      <w:r>
        <w:rPr>
          <w:rFonts w:ascii="仿宋_GB2312" w:eastAsia="仿宋_GB2312" w:hAnsi="宋体" w:hint="eastAsia"/>
          <w:sz w:val="32"/>
          <w:szCs w:val="32"/>
        </w:rPr>
        <w:t>号）文件执行。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>6.</w:t>
      </w:r>
      <w:r>
        <w:rPr>
          <w:rFonts w:ascii="仿宋_GB2312" w:eastAsia="仿宋_GB2312" w:hAnsi="宋体" w:hint="eastAsia"/>
          <w:sz w:val="32"/>
          <w:szCs w:val="32"/>
        </w:rPr>
        <w:t>毕业设计（论文）的实际工作时间不足规定时间三分之二者，不得参加当年答辩。</w:t>
      </w:r>
    </w:p>
    <w:p w:rsidR="0056252E" w:rsidRDefault="00947656" w:rsidP="00361BA2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第五条</w:t>
      </w:r>
      <w:r>
        <w:rPr>
          <w:rFonts w:ascii="仿宋_GB2312" w:eastAsia="仿宋_GB2312" w:hAnsi="宋体"/>
          <w:b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/>
          <w:sz w:val="32"/>
          <w:szCs w:val="32"/>
        </w:rPr>
        <w:t>毕业设计（论文）写作的规范要求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格式要求：毕业设计（论文）正式文本包括以下内容：（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）封面；（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）版权使用授权书；（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）原创性声明；（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）目录；（</w:t>
      </w: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）中文摘要（不少于</w:t>
      </w:r>
      <w:r>
        <w:rPr>
          <w:rFonts w:ascii="仿宋_GB2312" w:eastAsia="仿宋_GB2312" w:hAnsi="宋体"/>
          <w:sz w:val="32"/>
          <w:szCs w:val="32"/>
        </w:rPr>
        <w:t>300</w:t>
      </w:r>
      <w:r>
        <w:rPr>
          <w:rFonts w:ascii="仿宋_GB2312" w:eastAsia="仿宋_GB2312" w:hAnsi="宋体" w:hint="eastAsia"/>
          <w:sz w:val="32"/>
          <w:szCs w:val="32"/>
        </w:rPr>
        <w:t>字）和关键</w:t>
      </w:r>
      <w:r>
        <w:rPr>
          <w:rFonts w:ascii="Times New Roman" w:eastAsia="仿宋_GB2312" w:hAnsi="Times New Roman" w:hint="eastAsia"/>
          <w:sz w:val="32"/>
          <w:szCs w:val="32"/>
        </w:rPr>
        <w:t>词（</w:t>
      </w:r>
      <w:r>
        <w:rPr>
          <w:rFonts w:ascii="Times New Roman" w:eastAsia="仿宋_GB2312" w:hAnsi="Times New Roman"/>
          <w:sz w:val="32"/>
          <w:szCs w:val="32"/>
        </w:rPr>
        <w:t>3~5</w:t>
      </w:r>
      <w:r>
        <w:rPr>
          <w:rFonts w:ascii="Times New Roman" w:eastAsia="仿宋_GB2312" w:hAnsi="Times New Roman" w:hint="eastAsia"/>
          <w:sz w:val="32"/>
          <w:szCs w:val="32"/>
        </w:rPr>
        <w:t>个</w:t>
      </w:r>
      <w:r>
        <w:rPr>
          <w:rFonts w:ascii="仿宋_GB2312" w:eastAsia="仿宋_GB2312" w:hAnsi="宋体" w:hint="eastAsia"/>
          <w:sz w:val="32"/>
          <w:szCs w:val="32"/>
        </w:rPr>
        <w:t>）；（</w:t>
      </w: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）英文摘要和关键词；（</w:t>
      </w:r>
      <w:r>
        <w:rPr>
          <w:rFonts w:ascii="仿宋_GB2312" w:eastAsia="仿宋_GB2312" w:hAnsi="宋体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）正文；（</w:t>
      </w:r>
      <w:r>
        <w:rPr>
          <w:rFonts w:ascii="仿宋_GB2312" w:eastAsia="仿宋_GB2312" w:hAnsi="宋体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="00BD4C88">
        <w:rPr>
          <w:rFonts w:ascii="仿宋_GB2312" w:eastAsia="仿宋_GB2312" w:hAnsi="宋体" w:hint="eastAsia"/>
          <w:sz w:val="32"/>
          <w:szCs w:val="32"/>
        </w:rPr>
        <w:t>参考文献</w:t>
      </w:r>
      <w:r>
        <w:rPr>
          <w:rFonts w:ascii="仿宋_GB2312" w:eastAsia="仿宋_GB2312" w:hAnsi="宋体" w:hint="eastAsia"/>
          <w:sz w:val="32"/>
          <w:szCs w:val="32"/>
        </w:rPr>
        <w:t>；（</w:t>
      </w:r>
      <w:r>
        <w:rPr>
          <w:rFonts w:ascii="仿宋_GB2312" w:eastAsia="仿宋_GB2312" w:hAnsi="宋体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="00BD4C88">
        <w:rPr>
          <w:rFonts w:ascii="仿宋_GB2312" w:eastAsia="仿宋_GB2312" w:hAnsi="宋体" w:hint="eastAsia"/>
          <w:sz w:val="32"/>
          <w:szCs w:val="32"/>
        </w:rPr>
        <w:t>致谢</w:t>
      </w:r>
      <w:r>
        <w:rPr>
          <w:rFonts w:ascii="仿宋_GB2312" w:eastAsia="仿宋_GB2312" w:hAnsi="宋体" w:hint="eastAsia"/>
          <w:sz w:val="32"/>
          <w:szCs w:val="32"/>
        </w:rPr>
        <w:t>；（</w:t>
      </w:r>
      <w:r>
        <w:rPr>
          <w:rFonts w:ascii="仿宋_GB2312" w:eastAsia="仿宋_GB2312" w:hAnsi="宋体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）附录（可选）。</w:t>
      </w:r>
    </w:p>
    <w:p w:rsidR="0056252E" w:rsidRDefault="00947656" w:rsidP="00361BA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毕业设计（论文）的写作与排版打印必须符合</w:t>
      </w:r>
      <w:r w:rsidRPr="00FA281B">
        <w:rPr>
          <w:rFonts w:ascii="仿宋_GB2312" w:eastAsia="仿宋_GB2312" w:hAnsi="宋体" w:hint="eastAsia"/>
          <w:sz w:val="32"/>
          <w:szCs w:val="32"/>
        </w:rPr>
        <w:t>《河南工程学院本科毕业设计（论文）</w:t>
      </w:r>
      <w:r w:rsidR="00FA0A3B" w:rsidRPr="00FA281B">
        <w:rPr>
          <w:rFonts w:ascii="仿宋_GB2312" w:eastAsia="仿宋_GB2312" w:hAnsi="宋体" w:hint="eastAsia"/>
          <w:sz w:val="32"/>
          <w:szCs w:val="32"/>
        </w:rPr>
        <w:t>写作与排版打印规范</w:t>
      </w:r>
      <w:r w:rsidRPr="00FA281B">
        <w:rPr>
          <w:rFonts w:ascii="仿宋_GB2312" w:eastAsia="仿宋_GB2312" w:hAnsi="宋体" w:hint="eastAsia"/>
          <w:sz w:val="32"/>
          <w:szCs w:val="32"/>
        </w:rPr>
        <w:t>》</w:t>
      </w:r>
      <w:r w:rsidR="00FA281B" w:rsidRPr="00FA281B">
        <w:rPr>
          <w:rFonts w:ascii="仿宋_GB2312" w:eastAsia="仿宋_GB2312" w:hAnsi="宋体" w:hint="eastAsia"/>
          <w:sz w:val="32"/>
          <w:szCs w:val="32"/>
        </w:rPr>
        <w:t>（附件1）</w:t>
      </w:r>
      <w:r>
        <w:rPr>
          <w:rFonts w:ascii="仿宋_GB2312" w:eastAsia="仿宋_GB2312" w:hAnsi="宋体" w:hint="eastAsia"/>
          <w:sz w:val="32"/>
          <w:szCs w:val="32"/>
        </w:rPr>
        <w:t>，正式文本须打印胶装。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文字要求：语言流畅，图表清晰，避免出现技术性错误。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工作量要求：文管艺类专业不少于</w:t>
      </w:r>
      <w:r>
        <w:rPr>
          <w:rFonts w:ascii="仿宋_GB2312" w:eastAsia="仿宋_GB2312" w:hAnsi="宋体"/>
          <w:sz w:val="32"/>
          <w:szCs w:val="32"/>
        </w:rPr>
        <w:t>10000</w:t>
      </w:r>
      <w:r>
        <w:rPr>
          <w:rFonts w:ascii="仿宋_GB2312" w:eastAsia="仿宋_GB2312" w:hAnsi="宋体" w:hint="eastAsia"/>
          <w:sz w:val="32"/>
          <w:szCs w:val="32"/>
        </w:rPr>
        <w:t>字；理工类专业不少于</w:t>
      </w:r>
      <w:r>
        <w:rPr>
          <w:rFonts w:ascii="仿宋_GB2312" w:eastAsia="仿宋_GB2312" w:hAnsi="宋体"/>
          <w:sz w:val="32"/>
          <w:szCs w:val="32"/>
        </w:rPr>
        <w:t>8000</w:t>
      </w:r>
      <w:r>
        <w:rPr>
          <w:rFonts w:ascii="仿宋_GB2312" w:eastAsia="仿宋_GB2312" w:hAnsi="宋体" w:hint="eastAsia"/>
          <w:sz w:val="32"/>
          <w:szCs w:val="32"/>
        </w:rPr>
        <w:t>字，查阅文献资料不少于</w:t>
      </w:r>
      <w:r>
        <w:rPr>
          <w:rFonts w:ascii="仿宋_GB2312" w:eastAsia="仿宋_GB2312" w:hAnsi="宋体"/>
          <w:sz w:val="32"/>
          <w:szCs w:val="32"/>
        </w:rPr>
        <w:t>15</w:t>
      </w:r>
      <w:r>
        <w:rPr>
          <w:rFonts w:ascii="仿宋_GB2312" w:eastAsia="仿宋_GB2312" w:hAnsi="宋体" w:hint="eastAsia"/>
          <w:sz w:val="32"/>
          <w:szCs w:val="32"/>
        </w:rPr>
        <w:t>篇（列入参考文献中），其中外文文献不少于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篇。毕业设计的学生根据专业特点，独立完成一定数量的工程图，其中至少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张是计算机绘图，具体由相应院（部）统一确定，报教务处审核。</w:t>
      </w:r>
    </w:p>
    <w:p w:rsidR="0056252E" w:rsidRDefault="00947656" w:rsidP="00361BA2">
      <w:pPr>
        <w:ind w:firstLineChars="200" w:firstLine="643"/>
        <w:outlineLvl w:val="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第六条</w:t>
      </w:r>
      <w:r>
        <w:rPr>
          <w:rFonts w:ascii="仿宋_GB2312" w:eastAsia="仿宋_GB2312" w:hAnsi="宋体"/>
          <w:b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/>
          <w:sz w:val="32"/>
          <w:szCs w:val="32"/>
        </w:rPr>
        <w:t>毕业设计（论文）的审阅、答辩与成绩评定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（一）审阅</w:t>
      </w:r>
      <w:r>
        <w:rPr>
          <w:rFonts w:ascii="仿宋_GB2312" w:eastAsia="仿宋_GB2312" w:hAnsi="宋体"/>
          <w:sz w:val="32"/>
          <w:szCs w:val="32"/>
        </w:rPr>
        <w:t xml:space="preserve">  </w:t>
      </w:r>
    </w:p>
    <w:p w:rsidR="0056252E" w:rsidRDefault="00947656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毕业设计（论文）完成后，指导教师根据开题报告进行评审，给出指导教师评语及建议成绩（附表</w:t>
      </w:r>
      <w:r>
        <w:rPr>
          <w:rFonts w:ascii="仿宋_GB2312" w:eastAsia="仿宋_GB2312" w:hAnsi="宋体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），院（部）指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定评阅教师对毕业设计（论文）进行评审，给出评阅教师评语及建议成绩（附表</w:t>
      </w:r>
      <w:r>
        <w:rPr>
          <w:rFonts w:ascii="仿宋_GB2312" w:eastAsia="仿宋_GB2312" w:hAnsi="宋体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）。</w:t>
      </w:r>
    </w:p>
    <w:p w:rsidR="0056252E" w:rsidRDefault="00947656" w:rsidP="00361BA2">
      <w:pPr>
        <w:spacing w:line="360" w:lineRule="auto"/>
        <w:ind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1.指导教师和评阅教师的评审意见主要包括如下内容：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）毕业生毕业设计（论文）的写作态度；（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）毕业设计（论文）任务书规定工作的完成情况；（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）毕业设计（论文）创新性和应用性评价；（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）写作的规范化程度、存在的主要问题；（</w:t>
      </w: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）是否同意答辩。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评定出毕业设计（论文）的建议成绩。</w:t>
      </w:r>
    </w:p>
    <w:p w:rsidR="0056252E" w:rsidRDefault="00947656" w:rsidP="00361BA2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（二）答辩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院（部）成立答辩委员会，组成若干个答辩小组，组织学生进行毕业答辩。答辩小组成员应具有本科毕业设计（论文）指导教师资格，答辩小组不得少于</w:t>
      </w: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人。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答辩过程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）指导教师和评阅教师同意答辩后，学生方可参加答辩。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）学生陈述。学生针对自己的毕业设计（论文）的撰写情况进行陈述，主要包括：选题根据和研究意义；毕业设计（论文）的基本思路、主要内容；毕业设计（论文）的主要创新点及不足；研究资料或实验情况等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）答辩小组提问。答辩小组教师每人需提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～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个问题，所提问题应与课题相关联，并能够反映学生对所选课题的研究水平。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）学生回答问题。学生应针对答辩教师的提问做出回答，答辩教师应有适当的追问。每位学生答辩的过程不少于</w:t>
      </w:r>
      <w:r>
        <w:rPr>
          <w:rFonts w:ascii="仿宋_GB2312" w:eastAsia="仿宋_GB2312" w:hAnsi="宋体"/>
          <w:sz w:val="32"/>
          <w:szCs w:val="32"/>
        </w:rPr>
        <w:t>15</w:t>
      </w:r>
      <w:r>
        <w:rPr>
          <w:rFonts w:ascii="仿宋_GB2312" w:eastAsia="仿宋_GB2312" w:hAnsi="宋体" w:hint="eastAsia"/>
          <w:sz w:val="32"/>
          <w:szCs w:val="32"/>
        </w:rPr>
        <w:t>分钟。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）每个答辩小组建议设答辩秘书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名，详细做好每位学生的毕业答辩记录（附表</w:t>
      </w:r>
      <w:r>
        <w:rPr>
          <w:rFonts w:ascii="仿宋_GB2312" w:eastAsia="仿宋_GB2312" w:hAnsi="宋体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），并配合答辩小组做好毕业答辩其他相关工作。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）答辩结束，答辩小组负责填写答辩评语，给出答辩建议成绩</w:t>
      </w:r>
      <w:r>
        <w:rPr>
          <w:rFonts w:ascii="仿宋_GB2312" w:eastAsia="仿宋_GB2312" w:hAnsi="宋体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附表</w:t>
      </w:r>
      <w:r>
        <w:rPr>
          <w:rFonts w:ascii="仿宋_GB2312" w:eastAsia="仿宋_GB2312" w:hAnsi="宋体"/>
          <w:sz w:val="32"/>
          <w:szCs w:val="32"/>
        </w:rPr>
        <w:t>10)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）未通过答辩的学生，院（部）在一周内组织二次答辩。二次答辩仍未能通过者不能毕业，须随下届学生重修毕业设计（论文）环节。</w:t>
      </w:r>
    </w:p>
    <w:p w:rsidR="0056252E" w:rsidRDefault="00947656">
      <w:pPr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（三）成绩评定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毕业设计（论文）的成绩评定，应以学生的学风、毕业设计（论文）质量和答辩水平为依据，既看学生基本理论、基本技能掌握的程度，又要看学生的提出问题、分析问题和解决问题的能力，并重视学生答辩时的表达能力和其它有关情况。</w:t>
      </w:r>
    </w:p>
    <w:p w:rsidR="0056252E" w:rsidRDefault="00947656" w:rsidP="00361BA2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毕业设计（论文）成绩由指导教师建议成绩（占</w:t>
      </w:r>
      <w:r>
        <w:rPr>
          <w:rFonts w:ascii="仿宋_GB2312" w:eastAsia="仿宋_GB2312" w:hAnsi="宋体"/>
          <w:sz w:val="32"/>
          <w:szCs w:val="32"/>
        </w:rPr>
        <w:t>40</w:t>
      </w:r>
      <w:r>
        <w:rPr>
          <w:rFonts w:ascii="仿宋_GB2312" w:eastAsia="仿宋_GB2312" w:hAnsi="宋体" w:hint="eastAsia"/>
          <w:sz w:val="32"/>
          <w:szCs w:val="32"/>
        </w:rPr>
        <w:t>％）、评阅教师建议成绩（占</w:t>
      </w:r>
      <w:r>
        <w:rPr>
          <w:rFonts w:ascii="仿宋_GB2312" w:eastAsia="仿宋_GB2312" w:hAnsi="宋体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％）和答辩成绩（占</w:t>
      </w:r>
      <w:r>
        <w:rPr>
          <w:rFonts w:ascii="仿宋_GB2312" w:eastAsia="仿宋_GB2312" w:hAnsi="宋体"/>
          <w:sz w:val="32"/>
          <w:szCs w:val="32"/>
        </w:rPr>
        <w:t>40</w:t>
      </w:r>
      <w:r>
        <w:rPr>
          <w:rFonts w:ascii="仿宋_GB2312" w:eastAsia="仿宋_GB2312" w:hAnsi="宋体" w:hint="eastAsia"/>
          <w:sz w:val="32"/>
          <w:szCs w:val="32"/>
        </w:rPr>
        <w:t>％）三部分组成。答辩小组评定毕业设计（论文）综合成绩（取整数）（附表</w:t>
      </w:r>
      <w:r>
        <w:rPr>
          <w:rFonts w:ascii="仿宋_GB2312" w:eastAsia="仿宋_GB2312" w:hAnsi="宋体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）。综合成绩同时记百分制成绩和等级成绩，等级成绩分为优秀</w:t>
      </w:r>
      <w:r w:rsidRPr="004904E5">
        <w:rPr>
          <w:rFonts w:ascii="Times New Roman" w:eastAsia="仿宋_GB2312" w:hAnsi="Times New Roman"/>
          <w:sz w:val="32"/>
          <w:szCs w:val="32"/>
        </w:rPr>
        <w:t>（</w:t>
      </w:r>
      <w:r w:rsidRPr="004904E5">
        <w:rPr>
          <w:rFonts w:ascii="Times New Roman" w:eastAsia="仿宋_GB2312" w:hAnsi="Times New Roman"/>
          <w:sz w:val="32"/>
          <w:szCs w:val="32"/>
        </w:rPr>
        <w:t>90</w:t>
      </w:r>
      <w:r w:rsidR="004904E5" w:rsidRPr="004904E5">
        <w:rPr>
          <w:rFonts w:ascii="Times New Roman" w:eastAsia="仿宋_GB2312" w:hAnsi="Times New Roman"/>
          <w:sz w:val="32"/>
          <w:szCs w:val="32"/>
        </w:rPr>
        <w:t>~</w:t>
      </w:r>
      <w:r w:rsidRPr="004904E5">
        <w:rPr>
          <w:rFonts w:ascii="Times New Roman" w:eastAsia="仿宋_GB2312" w:hAnsi="Times New Roman"/>
          <w:sz w:val="32"/>
          <w:szCs w:val="32"/>
        </w:rPr>
        <w:t>100</w:t>
      </w:r>
      <w:r w:rsidRPr="004904E5">
        <w:rPr>
          <w:rFonts w:ascii="Times New Roman" w:eastAsia="仿宋_GB2312" w:hAnsi="Times New Roman"/>
          <w:sz w:val="32"/>
          <w:szCs w:val="32"/>
        </w:rPr>
        <w:t>分）、良好（</w:t>
      </w:r>
      <w:r w:rsidRPr="004904E5">
        <w:rPr>
          <w:rFonts w:ascii="Times New Roman" w:eastAsia="仿宋_GB2312" w:hAnsi="Times New Roman"/>
          <w:sz w:val="32"/>
          <w:szCs w:val="32"/>
        </w:rPr>
        <w:t>80</w:t>
      </w:r>
      <w:r w:rsidR="004904E5" w:rsidRPr="004904E5">
        <w:rPr>
          <w:rFonts w:ascii="Times New Roman" w:eastAsia="仿宋_GB2312" w:hAnsi="Times New Roman"/>
          <w:sz w:val="32"/>
          <w:szCs w:val="32"/>
        </w:rPr>
        <w:t>~</w:t>
      </w:r>
      <w:r w:rsidRPr="004904E5">
        <w:rPr>
          <w:rFonts w:ascii="Times New Roman" w:eastAsia="仿宋_GB2312" w:hAnsi="Times New Roman"/>
          <w:sz w:val="32"/>
          <w:szCs w:val="32"/>
        </w:rPr>
        <w:t>89</w:t>
      </w:r>
      <w:r w:rsidRPr="004904E5">
        <w:rPr>
          <w:rFonts w:ascii="Times New Roman" w:eastAsia="仿宋_GB2312" w:hAnsi="Times New Roman"/>
          <w:sz w:val="32"/>
          <w:szCs w:val="32"/>
        </w:rPr>
        <w:t>分）、中等（</w:t>
      </w:r>
      <w:r w:rsidRPr="004904E5">
        <w:rPr>
          <w:rFonts w:ascii="Times New Roman" w:eastAsia="仿宋_GB2312" w:hAnsi="Times New Roman"/>
          <w:sz w:val="32"/>
          <w:szCs w:val="32"/>
        </w:rPr>
        <w:t>70</w:t>
      </w:r>
      <w:r w:rsidR="004904E5" w:rsidRPr="004904E5">
        <w:rPr>
          <w:rFonts w:ascii="Times New Roman" w:eastAsia="仿宋_GB2312" w:hAnsi="Times New Roman"/>
          <w:sz w:val="32"/>
          <w:szCs w:val="32"/>
        </w:rPr>
        <w:t>~</w:t>
      </w:r>
      <w:r w:rsidRPr="004904E5">
        <w:rPr>
          <w:rFonts w:ascii="Times New Roman" w:eastAsia="仿宋_GB2312" w:hAnsi="Times New Roman"/>
          <w:sz w:val="32"/>
          <w:szCs w:val="32"/>
        </w:rPr>
        <w:t>79</w:t>
      </w:r>
      <w:r w:rsidRPr="004904E5">
        <w:rPr>
          <w:rFonts w:ascii="Times New Roman" w:eastAsia="仿宋_GB2312" w:hAnsi="Times New Roman"/>
          <w:sz w:val="32"/>
          <w:szCs w:val="32"/>
        </w:rPr>
        <w:lastRenderedPageBreak/>
        <w:t>分）、及格（</w:t>
      </w:r>
      <w:r w:rsidRPr="004904E5">
        <w:rPr>
          <w:rFonts w:ascii="Times New Roman" w:eastAsia="仿宋_GB2312" w:hAnsi="Times New Roman"/>
          <w:sz w:val="32"/>
          <w:szCs w:val="32"/>
        </w:rPr>
        <w:t>60</w:t>
      </w:r>
      <w:r w:rsidR="004904E5" w:rsidRPr="004904E5">
        <w:rPr>
          <w:rFonts w:ascii="Times New Roman" w:eastAsia="仿宋_GB2312" w:hAnsi="Times New Roman"/>
          <w:sz w:val="32"/>
          <w:szCs w:val="32"/>
        </w:rPr>
        <w:t>~</w:t>
      </w:r>
      <w:r w:rsidRPr="004904E5">
        <w:rPr>
          <w:rFonts w:ascii="Times New Roman" w:eastAsia="仿宋_GB2312" w:hAnsi="Times New Roman"/>
          <w:sz w:val="32"/>
          <w:szCs w:val="32"/>
        </w:rPr>
        <w:t>69</w:t>
      </w:r>
      <w:r w:rsidRPr="004904E5">
        <w:rPr>
          <w:rFonts w:ascii="Times New Roman" w:eastAsia="仿宋_GB2312" w:hAnsi="Times New Roman"/>
          <w:sz w:val="32"/>
          <w:szCs w:val="32"/>
        </w:rPr>
        <w:t>分</w:t>
      </w:r>
      <w:r>
        <w:rPr>
          <w:rFonts w:ascii="仿宋_GB2312" w:eastAsia="仿宋_GB2312" w:hAnsi="宋体" w:hint="eastAsia"/>
          <w:sz w:val="32"/>
          <w:szCs w:val="32"/>
        </w:rPr>
        <w:t>）和不及格（</w:t>
      </w:r>
      <w:r>
        <w:rPr>
          <w:rFonts w:ascii="仿宋_GB2312" w:eastAsia="仿宋_GB2312" w:hAnsi="宋体"/>
          <w:sz w:val="32"/>
          <w:szCs w:val="32"/>
        </w:rPr>
        <w:t>60</w:t>
      </w:r>
      <w:r>
        <w:rPr>
          <w:rFonts w:ascii="仿宋_GB2312" w:eastAsia="仿宋_GB2312" w:hAnsi="宋体" w:hint="eastAsia"/>
          <w:sz w:val="32"/>
          <w:szCs w:val="32"/>
        </w:rPr>
        <w:t>分以下）五等。毕业设计（论文）成绩最后由院</w:t>
      </w:r>
      <w:r>
        <w:rPr>
          <w:rFonts w:ascii="仿宋_GB2312" w:eastAsia="仿宋_GB2312" w:hAnsi="宋体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部</w:t>
      </w:r>
      <w:r>
        <w:rPr>
          <w:rFonts w:ascii="仿宋_GB2312" w:eastAsia="仿宋_GB2312" w:hAnsi="宋体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答辩委员会核准，汇总后报教务处备案。</w:t>
      </w:r>
    </w:p>
    <w:p w:rsidR="0056252E" w:rsidRDefault="00947656" w:rsidP="00361BA2">
      <w:pPr>
        <w:spacing w:line="360" w:lineRule="auto"/>
        <w:ind w:firstLineChars="200" w:firstLine="640"/>
        <w:jc w:val="left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院（部）应控制成绩分布状态，优秀论文数量不能超过</w:t>
      </w:r>
      <w:r>
        <w:rPr>
          <w:rFonts w:ascii="Times New Roman" w:eastAsia="仿宋_GB2312" w:hAnsi="Times New Roman"/>
          <w:sz w:val="32"/>
          <w:szCs w:val="32"/>
        </w:rPr>
        <w:t>15%</w:t>
      </w:r>
      <w:r>
        <w:rPr>
          <w:rFonts w:ascii="Times New Roman" w:eastAsia="仿宋_GB2312" w:hAnsi="Times New Roman" w:hint="eastAsia"/>
          <w:sz w:val="32"/>
          <w:szCs w:val="32"/>
        </w:rPr>
        <w:t>，并按学校规定的比例推荐校级优秀毕业设计（论文）。</w:t>
      </w:r>
    </w:p>
    <w:p w:rsidR="0056252E" w:rsidRDefault="00947656" w:rsidP="00361BA2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第七条　优秀毕业设计（论文）的评选与毕业设计（论文）存档管理</w:t>
      </w:r>
    </w:p>
    <w:p w:rsidR="0056252E" w:rsidRDefault="00947656" w:rsidP="00361BA2">
      <w:pPr>
        <w:ind w:firstLineChars="207" w:firstLine="66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院</w:t>
      </w:r>
      <w:r>
        <w:rPr>
          <w:rFonts w:ascii="仿宋_GB2312" w:eastAsia="仿宋_GB2312" w:hAnsi="宋体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部</w:t>
      </w:r>
      <w:r>
        <w:rPr>
          <w:rFonts w:ascii="仿宋_GB2312" w:eastAsia="仿宋_GB2312" w:hAnsi="宋体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负责组织院级优秀毕业设计（论文）答辩。参加院</w:t>
      </w:r>
      <w:r>
        <w:rPr>
          <w:rFonts w:ascii="仿宋_GB2312" w:eastAsia="仿宋_GB2312" w:hAnsi="宋体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部</w:t>
      </w:r>
      <w:r>
        <w:rPr>
          <w:rFonts w:ascii="仿宋_GB2312" w:eastAsia="仿宋_GB2312" w:hAnsi="宋体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级优秀答辩人数一般不少于本届学生总数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10%</w:t>
      </w:r>
      <w:r>
        <w:rPr>
          <w:rFonts w:ascii="Times New Roman" w:eastAsia="仿宋_GB2312" w:hAnsi="Times New Roman" w:hint="eastAsia"/>
          <w:sz w:val="32"/>
          <w:szCs w:val="32"/>
        </w:rPr>
        <w:t>，并按本届学生总数的</w:t>
      </w:r>
      <w:r>
        <w:rPr>
          <w:rFonts w:ascii="Times New Roman" w:eastAsia="仿宋_GB2312" w:hAnsi="Times New Roman"/>
          <w:sz w:val="32"/>
          <w:szCs w:val="32"/>
        </w:rPr>
        <w:t>1%</w:t>
      </w:r>
      <w:r>
        <w:rPr>
          <w:rFonts w:ascii="Times New Roman" w:eastAsia="仿宋_GB2312" w:hAnsi="Times New Roman" w:hint="eastAsia"/>
          <w:sz w:val="32"/>
          <w:szCs w:val="32"/>
        </w:rPr>
        <w:t>（且综合成绩评定为优），推荐参</w:t>
      </w:r>
      <w:r>
        <w:rPr>
          <w:rFonts w:ascii="仿宋_GB2312" w:eastAsia="仿宋_GB2312" w:hAnsi="宋体" w:hint="eastAsia"/>
          <w:sz w:val="32"/>
          <w:szCs w:val="32"/>
        </w:rPr>
        <w:t>加校级优秀毕业设计（论文）答辩。</w:t>
      </w:r>
    </w:p>
    <w:p w:rsidR="0056252E" w:rsidRDefault="00947656" w:rsidP="00361BA2">
      <w:pPr>
        <w:ind w:firstLineChars="207" w:firstLine="66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教务处负责组织校级优秀毕业设计（论文）答辩，校级优秀毕业设计</w:t>
      </w:r>
      <w:r>
        <w:rPr>
          <w:rFonts w:ascii="仿宋_GB2312" w:eastAsia="仿宋_GB2312" w:hAnsi="宋体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论文</w:t>
      </w:r>
      <w:r>
        <w:rPr>
          <w:rFonts w:ascii="仿宋_GB2312" w:eastAsia="仿宋_GB2312" w:hAnsi="宋体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答辩采取末位淘汰制。院（部）将被评定为校级优秀的毕业设计（论文）的电子文本一并送交教务处结集出版。获校级优秀毕业设计</w:t>
      </w:r>
      <w:r>
        <w:rPr>
          <w:rFonts w:ascii="仿宋_GB2312" w:eastAsia="仿宋_GB2312" w:hAnsi="宋体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论文</w:t>
      </w:r>
      <w:r>
        <w:rPr>
          <w:rFonts w:ascii="仿宋_GB2312" w:eastAsia="仿宋_GB2312" w:hAnsi="宋体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者由学校统一颁发“校级优秀毕业设计（论文）”荣誉证书，指导教师同时获得“校级优秀指导教师”荣誉称号和校级教学质量优秀奖。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毕业设计（论文）有关文档单独装入毕业设计（论文）资料袋内。资料袋每生一份，以学生班级为单位按学号排序集中存放。毕业设计（论文）资料袋内文档材料包括：（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）任务书；（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）开题报告；（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）开题答辩记录表；（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）中期检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查表；（</w:t>
      </w: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）指导教师评语及建议成绩表；（</w:t>
      </w: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）评阅教师评语及建议成绩表；（</w:t>
      </w:r>
      <w:r>
        <w:rPr>
          <w:rFonts w:ascii="仿宋_GB2312" w:eastAsia="仿宋_GB2312" w:hAnsi="宋体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）毕业答辩评语及建议成绩表；（</w:t>
      </w:r>
      <w:r>
        <w:rPr>
          <w:rFonts w:ascii="仿宋_GB2312" w:eastAsia="仿宋_GB2312" w:hAnsi="宋体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）毕业答辩记录表；（</w:t>
      </w:r>
      <w:r>
        <w:rPr>
          <w:rFonts w:ascii="仿宋_GB2312" w:eastAsia="仿宋_GB2312" w:hAnsi="宋体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）毕业设计（论文）成绩综合评定表；（</w:t>
      </w:r>
      <w:r>
        <w:rPr>
          <w:rFonts w:ascii="仿宋_GB2312" w:eastAsia="仿宋_GB2312" w:hAnsi="宋体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）毕业设计（论文）文本及辅助资料装订本；（</w:t>
      </w:r>
      <w:r>
        <w:rPr>
          <w:rFonts w:ascii="仿宋_GB2312" w:eastAsia="仿宋_GB2312" w:hAnsi="宋体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）指导记录表。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各院（部）应留存学生毕业设计（论文）电子文本。</w:t>
      </w:r>
    </w:p>
    <w:p w:rsidR="0056252E" w:rsidRDefault="00947656" w:rsidP="00361BA2">
      <w:pPr>
        <w:ind w:firstLineChars="200" w:firstLine="643"/>
        <w:outlineLvl w:val="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第八条　毕业设计（论文）的组织领导及职责分工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全校毕业设计（论文）工作在主管校长统一领导下进行，实行分级管理，层层负责。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学校教务处的主要工作职责：</w:t>
      </w:r>
    </w:p>
    <w:p w:rsidR="0056252E" w:rsidRDefault="00947656" w:rsidP="00361BA2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研究、制定有关毕业设计（论文）的规范性管理文件；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统一组织和协调全校毕业设计（论文）工作；</w:t>
      </w:r>
    </w:p>
    <w:p w:rsidR="0056252E" w:rsidRDefault="00947656" w:rsidP="00361BA2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组织检查毕业设计（论文）工作；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毕业设计（论文）工作结束后，抽样分析毕业设计（论文）质量，做好工作总结，组织经验交流，编辑出版《河南工程学院优秀毕业设计（论文）集》；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院（部）的主要工作职责：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根据学科专业特点和学校的有关规定，制定本院（部）学生毕业设计（论文）具体要求及管理细则等；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组织审查全院（部）毕业设计（论文）选题，向各教研室布置毕业设计（论文）工作任务；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定期检查各教研室毕业设计（论文）工作进展情况，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协调处理本院（部）毕业设计（论文）工作中有关问题；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组织、布置毕业设计（论文）审查、答辩及成绩复查工作等；</w:t>
      </w:r>
    </w:p>
    <w:p w:rsidR="0056252E" w:rsidRDefault="00947656" w:rsidP="00361BA2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5.</w:t>
      </w:r>
      <w:r>
        <w:rPr>
          <w:rFonts w:ascii="仿宋_GB2312" w:eastAsia="仿宋_GB2312" w:hAnsi="宋体" w:hint="eastAsia"/>
          <w:sz w:val="32"/>
          <w:szCs w:val="32"/>
        </w:rPr>
        <w:t>评选本院（部）优秀毕业设计（论文）、并向学校推荐；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6.</w:t>
      </w:r>
      <w:r>
        <w:rPr>
          <w:rFonts w:ascii="仿宋_GB2312" w:eastAsia="仿宋_GB2312" w:hAnsi="宋体" w:hint="eastAsia"/>
          <w:sz w:val="32"/>
          <w:szCs w:val="32"/>
        </w:rPr>
        <w:t>做好本院（部）毕业设计（论文）工作总结</w:t>
      </w:r>
      <w:r>
        <w:rPr>
          <w:rFonts w:ascii="仿宋_GB2312" w:eastAsia="仿宋_GB2312" w:hAnsi="宋体"/>
          <w:sz w:val="32"/>
          <w:szCs w:val="32"/>
        </w:rPr>
        <w:t>,</w:t>
      </w:r>
      <w:r>
        <w:rPr>
          <w:rFonts w:ascii="仿宋_GB2312" w:eastAsia="仿宋_GB2312" w:hAnsi="宋体" w:hint="eastAsia"/>
          <w:sz w:val="32"/>
          <w:szCs w:val="32"/>
        </w:rPr>
        <w:t>按要求撰写毕业设计（论文）选题质量分析报告和毕业设计（论文）质量分析报告</w:t>
      </w:r>
      <w:r>
        <w:rPr>
          <w:rFonts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提交《河南工程学院毕业设计（论文）开题汇总表》（附表</w:t>
      </w:r>
      <w:r>
        <w:rPr>
          <w:rFonts w:ascii="仿宋_GB2312" w:eastAsia="仿宋_GB2312" w:hAnsi="宋体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）、《河南工程学院毕业设计（论文）总结分析表》（附表</w:t>
      </w:r>
      <w:r>
        <w:rPr>
          <w:rFonts w:ascii="仿宋_GB2312" w:eastAsia="仿宋_GB2312" w:hAnsi="宋体"/>
          <w:sz w:val="32"/>
          <w:szCs w:val="32"/>
        </w:rPr>
        <w:t>13</w:t>
      </w:r>
      <w:r>
        <w:rPr>
          <w:rFonts w:ascii="仿宋_GB2312" w:eastAsia="仿宋_GB2312" w:hAnsi="宋体" w:hint="eastAsia"/>
          <w:sz w:val="32"/>
          <w:szCs w:val="32"/>
        </w:rPr>
        <w:t>）、《河南工程学院毕业设计（论文）汇总表》（附表</w:t>
      </w:r>
      <w:r>
        <w:rPr>
          <w:rFonts w:ascii="仿宋_GB2312" w:eastAsia="仿宋_GB2312" w:hAnsi="宋体"/>
          <w:sz w:val="32"/>
          <w:szCs w:val="32"/>
        </w:rPr>
        <w:t>14</w:t>
      </w:r>
      <w:r>
        <w:rPr>
          <w:rFonts w:ascii="仿宋_GB2312" w:eastAsia="仿宋_GB2312" w:hAnsi="宋体" w:hint="eastAsia"/>
          <w:sz w:val="32"/>
          <w:szCs w:val="32"/>
        </w:rPr>
        <w:t>）和《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校级本科优秀毕业设计（论文</w:t>
      </w:r>
      <w:r>
        <w:rPr>
          <w:rFonts w:ascii="仿宋_GB2312" w:eastAsia="仿宋_GB2312" w:hAnsi="宋体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推荐表》（附表</w:t>
      </w:r>
      <w:r>
        <w:rPr>
          <w:rFonts w:ascii="仿宋_GB2312" w:eastAsia="仿宋_GB2312" w:hAnsi="宋体"/>
          <w:sz w:val="32"/>
          <w:szCs w:val="32"/>
        </w:rPr>
        <w:t>15</w:t>
      </w:r>
      <w:r>
        <w:rPr>
          <w:rFonts w:ascii="仿宋_GB2312" w:eastAsia="仿宋_GB2312" w:hAnsi="宋体" w:hint="eastAsia"/>
          <w:sz w:val="32"/>
          <w:szCs w:val="32"/>
        </w:rPr>
        <w:t>）。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教研室的主要工作职责：</w:t>
      </w:r>
    </w:p>
    <w:p w:rsidR="0056252E" w:rsidRDefault="00947656" w:rsidP="00361BA2">
      <w:pPr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安排指导教师；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做好毕业设计（论文）期间工作检查，督促指导教师认真履行毕业设计（论文）指导职责，及时研究和处理出现的有关问题；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具体组织毕业设计（论文）开题、答辩和成绩评定工作；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认真做好教研室毕业设计（论文）工作总结。</w:t>
      </w:r>
    </w:p>
    <w:p w:rsidR="0056252E" w:rsidRDefault="00947656" w:rsidP="00361BA2">
      <w:pPr>
        <w:ind w:firstLineChars="200" w:firstLine="643"/>
        <w:outlineLvl w:val="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第九条　其它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学生未做毕业设计（论文），或没有进行毕业设计（论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文）答辩，或论文（设计）综合评定成绩不及格者，不能取得相应学分，允许其随下一届学生补做一次毕业设计（论文）。毕业设计（论文）补做及答辩合格后，根据学校学籍管理规定办理毕业手续。学生毕业设计（论文）补做及答辩由原所在院（部）负责安排，报教务处备案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毕业设计（论文）的相关表格由教务处统一制定，各学院到教务处网站下载。</w:t>
      </w:r>
    </w:p>
    <w:p w:rsidR="0056252E" w:rsidRDefault="00947656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本条例自发布之日开始执行，教务处负责解释。</w:t>
      </w:r>
    </w:p>
    <w:p w:rsidR="0056252E" w:rsidRDefault="0056252E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6252E" w:rsidRDefault="0056252E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6252E" w:rsidRDefault="0056252E" w:rsidP="00361BA2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6252E" w:rsidRDefault="00947656" w:rsidP="00361BA2">
      <w:pPr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河南工程学院教务处</w:t>
      </w:r>
    </w:p>
    <w:p w:rsidR="0056252E" w:rsidRDefault="00947656" w:rsidP="00361BA2">
      <w:pPr>
        <w:ind w:firstLineChars="200" w:firstLine="640"/>
        <w:jc w:val="right"/>
      </w:pPr>
      <w:r>
        <w:rPr>
          <w:rFonts w:ascii="仿宋_GB2312" w:eastAsia="仿宋_GB2312" w:hAnsi="宋体"/>
          <w:sz w:val="32"/>
          <w:szCs w:val="32"/>
        </w:rPr>
        <w:t xml:space="preserve">                             2015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月20日</w:t>
      </w:r>
    </w:p>
    <w:p w:rsidR="0056252E" w:rsidRDefault="0056252E">
      <w:pPr>
        <w:jc w:val="left"/>
        <w:rPr>
          <w:rFonts w:ascii="仿宋_GB2312" w:eastAsia="仿宋_GB2312" w:hAnsi="宋体"/>
          <w:sz w:val="30"/>
          <w:szCs w:val="30"/>
        </w:rPr>
      </w:pPr>
    </w:p>
    <w:sectPr w:rsidR="0056252E" w:rsidSect="00562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C49C4"/>
    <w:multiLevelType w:val="singleLevel"/>
    <w:tmpl w:val="564C49C4"/>
    <w:lvl w:ilvl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C52"/>
    <w:rsid w:val="00010E7C"/>
    <w:rsid w:val="00013FEF"/>
    <w:rsid w:val="00043BE9"/>
    <w:rsid w:val="0005197E"/>
    <w:rsid w:val="0005324D"/>
    <w:rsid w:val="000760DA"/>
    <w:rsid w:val="00081AC1"/>
    <w:rsid w:val="000B5EF6"/>
    <w:rsid w:val="000B6181"/>
    <w:rsid w:val="000B7072"/>
    <w:rsid w:val="000C088B"/>
    <w:rsid w:val="000F69E1"/>
    <w:rsid w:val="0011635D"/>
    <w:rsid w:val="00140449"/>
    <w:rsid w:val="00145769"/>
    <w:rsid w:val="00151B03"/>
    <w:rsid w:val="00176ADB"/>
    <w:rsid w:val="00180CA4"/>
    <w:rsid w:val="0018533A"/>
    <w:rsid w:val="00192032"/>
    <w:rsid w:val="001B6348"/>
    <w:rsid w:val="001C639C"/>
    <w:rsid w:val="001D09E1"/>
    <w:rsid w:val="001D22DF"/>
    <w:rsid w:val="001E236D"/>
    <w:rsid w:val="00202697"/>
    <w:rsid w:val="002057C5"/>
    <w:rsid w:val="002066E0"/>
    <w:rsid w:val="00217C66"/>
    <w:rsid w:val="00225A50"/>
    <w:rsid w:val="002304EA"/>
    <w:rsid w:val="00231BAE"/>
    <w:rsid w:val="0025393D"/>
    <w:rsid w:val="00254250"/>
    <w:rsid w:val="00272025"/>
    <w:rsid w:val="002824D5"/>
    <w:rsid w:val="0028516D"/>
    <w:rsid w:val="002A0D7D"/>
    <w:rsid w:val="002C39EB"/>
    <w:rsid w:val="002C5C23"/>
    <w:rsid w:val="002F16CB"/>
    <w:rsid w:val="002F33ED"/>
    <w:rsid w:val="0030145D"/>
    <w:rsid w:val="003044F3"/>
    <w:rsid w:val="00315DB4"/>
    <w:rsid w:val="003262C5"/>
    <w:rsid w:val="003424FB"/>
    <w:rsid w:val="00351689"/>
    <w:rsid w:val="00351E7C"/>
    <w:rsid w:val="0035637C"/>
    <w:rsid w:val="00356E19"/>
    <w:rsid w:val="00361BA2"/>
    <w:rsid w:val="0037081C"/>
    <w:rsid w:val="0037518B"/>
    <w:rsid w:val="00381CE6"/>
    <w:rsid w:val="003A7FF6"/>
    <w:rsid w:val="003B7487"/>
    <w:rsid w:val="003C3BC5"/>
    <w:rsid w:val="003C6C47"/>
    <w:rsid w:val="003C78C8"/>
    <w:rsid w:val="003D1F70"/>
    <w:rsid w:val="003F0EFB"/>
    <w:rsid w:val="003F1003"/>
    <w:rsid w:val="003F486A"/>
    <w:rsid w:val="003F51FE"/>
    <w:rsid w:val="004113B7"/>
    <w:rsid w:val="00455446"/>
    <w:rsid w:val="0047180E"/>
    <w:rsid w:val="00475ECC"/>
    <w:rsid w:val="004843BF"/>
    <w:rsid w:val="004904E5"/>
    <w:rsid w:val="00490AA1"/>
    <w:rsid w:val="00494B8E"/>
    <w:rsid w:val="00495055"/>
    <w:rsid w:val="004A5315"/>
    <w:rsid w:val="004A6C8F"/>
    <w:rsid w:val="004B685F"/>
    <w:rsid w:val="004C763A"/>
    <w:rsid w:val="004F20EB"/>
    <w:rsid w:val="00507108"/>
    <w:rsid w:val="005111A4"/>
    <w:rsid w:val="00512675"/>
    <w:rsid w:val="00537510"/>
    <w:rsid w:val="00550C8C"/>
    <w:rsid w:val="0056252E"/>
    <w:rsid w:val="00567B4D"/>
    <w:rsid w:val="00577400"/>
    <w:rsid w:val="00595117"/>
    <w:rsid w:val="005B22CF"/>
    <w:rsid w:val="005D0C17"/>
    <w:rsid w:val="005E0EB1"/>
    <w:rsid w:val="005E6023"/>
    <w:rsid w:val="005E6252"/>
    <w:rsid w:val="005F2A88"/>
    <w:rsid w:val="00612553"/>
    <w:rsid w:val="006248C5"/>
    <w:rsid w:val="00630B03"/>
    <w:rsid w:val="00644BE0"/>
    <w:rsid w:val="006554E2"/>
    <w:rsid w:val="00662299"/>
    <w:rsid w:val="00662541"/>
    <w:rsid w:val="00665339"/>
    <w:rsid w:val="0067465A"/>
    <w:rsid w:val="00683226"/>
    <w:rsid w:val="006837DD"/>
    <w:rsid w:val="006875D2"/>
    <w:rsid w:val="00692BCE"/>
    <w:rsid w:val="006C344A"/>
    <w:rsid w:val="006C5602"/>
    <w:rsid w:val="006D4C20"/>
    <w:rsid w:val="006D605F"/>
    <w:rsid w:val="006D60CB"/>
    <w:rsid w:val="0070437F"/>
    <w:rsid w:val="00712319"/>
    <w:rsid w:val="007174A7"/>
    <w:rsid w:val="0074034D"/>
    <w:rsid w:val="0075700A"/>
    <w:rsid w:val="00775907"/>
    <w:rsid w:val="00781469"/>
    <w:rsid w:val="00782537"/>
    <w:rsid w:val="007857E3"/>
    <w:rsid w:val="00796067"/>
    <w:rsid w:val="007979CC"/>
    <w:rsid w:val="007B4B2E"/>
    <w:rsid w:val="007B4CC8"/>
    <w:rsid w:val="007C19A7"/>
    <w:rsid w:val="007C4A64"/>
    <w:rsid w:val="007D2D87"/>
    <w:rsid w:val="007D3391"/>
    <w:rsid w:val="007D4512"/>
    <w:rsid w:val="007D5A23"/>
    <w:rsid w:val="007D6591"/>
    <w:rsid w:val="007F13F7"/>
    <w:rsid w:val="00801D96"/>
    <w:rsid w:val="008069C6"/>
    <w:rsid w:val="00817218"/>
    <w:rsid w:val="008254D6"/>
    <w:rsid w:val="00832DCB"/>
    <w:rsid w:val="0083511A"/>
    <w:rsid w:val="00836380"/>
    <w:rsid w:val="00860C52"/>
    <w:rsid w:val="00881BE8"/>
    <w:rsid w:val="00883A76"/>
    <w:rsid w:val="008856A5"/>
    <w:rsid w:val="00895672"/>
    <w:rsid w:val="00895DC6"/>
    <w:rsid w:val="00895F06"/>
    <w:rsid w:val="008A5BED"/>
    <w:rsid w:val="008C5D9A"/>
    <w:rsid w:val="008C5FD4"/>
    <w:rsid w:val="008C7DD3"/>
    <w:rsid w:val="008F1ECD"/>
    <w:rsid w:val="008F68E8"/>
    <w:rsid w:val="009029F7"/>
    <w:rsid w:val="00917F75"/>
    <w:rsid w:val="00921BED"/>
    <w:rsid w:val="00922CA5"/>
    <w:rsid w:val="009259F3"/>
    <w:rsid w:val="00942385"/>
    <w:rsid w:val="00947656"/>
    <w:rsid w:val="00974E94"/>
    <w:rsid w:val="0098431E"/>
    <w:rsid w:val="00987AF5"/>
    <w:rsid w:val="00987C44"/>
    <w:rsid w:val="009A562B"/>
    <w:rsid w:val="009C285C"/>
    <w:rsid w:val="009D2B79"/>
    <w:rsid w:val="00A02E87"/>
    <w:rsid w:val="00A0745C"/>
    <w:rsid w:val="00A17668"/>
    <w:rsid w:val="00A4388D"/>
    <w:rsid w:val="00A53C93"/>
    <w:rsid w:val="00A70E10"/>
    <w:rsid w:val="00A85A07"/>
    <w:rsid w:val="00A9414C"/>
    <w:rsid w:val="00AD1B76"/>
    <w:rsid w:val="00AF1B7B"/>
    <w:rsid w:val="00AF1E77"/>
    <w:rsid w:val="00B146E1"/>
    <w:rsid w:val="00B160F0"/>
    <w:rsid w:val="00B37A87"/>
    <w:rsid w:val="00B4203A"/>
    <w:rsid w:val="00B42ECF"/>
    <w:rsid w:val="00B45CBC"/>
    <w:rsid w:val="00B55641"/>
    <w:rsid w:val="00B62ADF"/>
    <w:rsid w:val="00B81DAF"/>
    <w:rsid w:val="00B86830"/>
    <w:rsid w:val="00B91878"/>
    <w:rsid w:val="00B959DE"/>
    <w:rsid w:val="00BA097C"/>
    <w:rsid w:val="00BA277A"/>
    <w:rsid w:val="00BA2FE1"/>
    <w:rsid w:val="00BA5FDC"/>
    <w:rsid w:val="00BC6E08"/>
    <w:rsid w:val="00BD4C88"/>
    <w:rsid w:val="00BE15EB"/>
    <w:rsid w:val="00BE4AF0"/>
    <w:rsid w:val="00BF1936"/>
    <w:rsid w:val="00BF64E8"/>
    <w:rsid w:val="00C04F3F"/>
    <w:rsid w:val="00C100BC"/>
    <w:rsid w:val="00C131D9"/>
    <w:rsid w:val="00C21CB4"/>
    <w:rsid w:val="00C30D17"/>
    <w:rsid w:val="00C37963"/>
    <w:rsid w:val="00C4343A"/>
    <w:rsid w:val="00C61DB3"/>
    <w:rsid w:val="00C64472"/>
    <w:rsid w:val="00C7003B"/>
    <w:rsid w:val="00C725BB"/>
    <w:rsid w:val="00C75E55"/>
    <w:rsid w:val="00CA1684"/>
    <w:rsid w:val="00CB5C00"/>
    <w:rsid w:val="00CC1EF8"/>
    <w:rsid w:val="00CC4E49"/>
    <w:rsid w:val="00CD3D3D"/>
    <w:rsid w:val="00CE045F"/>
    <w:rsid w:val="00CE2B24"/>
    <w:rsid w:val="00D278BD"/>
    <w:rsid w:val="00D30465"/>
    <w:rsid w:val="00D45871"/>
    <w:rsid w:val="00D5086E"/>
    <w:rsid w:val="00D5521D"/>
    <w:rsid w:val="00D570F7"/>
    <w:rsid w:val="00D649C8"/>
    <w:rsid w:val="00DC2F65"/>
    <w:rsid w:val="00DC6FB0"/>
    <w:rsid w:val="00DD2464"/>
    <w:rsid w:val="00DD757D"/>
    <w:rsid w:val="00DE425A"/>
    <w:rsid w:val="00E00D2C"/>
    <w:rsid w:val="00E018A5"/>
    <w:rsid w:val="00E239EB"/>
    <w:rsid w:val="00E32441"/>
    <w:rsid w:val="00E37AF2"/>
    <w:rsid w:val="00E44B1F"/>
    <w:rsid w:val="00E541E2"/>
    <w:rsid w:val="00E72F6D"/>
    <w:rsid w:val="00E73328"/>
    <w:rsid w:val="00E8314B"/>
    <w:rsid w:val="00E92191"/>
    <w:rsid w:val="00EA4028"/>
    <w:rsid w:val="00EB5263"/>
    <w:rsid w:val="00EB5369"/>
    <w:rsid w:val="00EC21D7"/>
    <w:rsid w:val="00EC5C81"/>
    <w:rsid w:val="00EC6EFF"/>
    <w:rsid w:val="00ED1AEC"/>
    <w:rsid w:val="00ED71A9"/>
    <w:rsid w:val="00EE2FDC"/>
    <w:rsid w:val="00EF14DC"/>
    <w:rsid w:val="00EF23F2"/>
    <w:rsid w:val="00EF4AE5"/>
    <w:rsid w:val="00F134E2"/>
    <w:rsid w:val="00F14CC5"/>
    <w:rsid w:val="00F15F0D"/>
    <w:rsid w:val="00F24185"/>
    <w:rsid w:val="00F24281"/>
    <w:rsid w:val="00F25101"/>
    <w:rsid w:val="00F25C75"/>
    <w:rsid w:val="00F27315"/>
    <w:rsid w:val="00F30A58"/>
    <w:rsid w:val="00F425A3"/>
    <w:rsid w:val="00F451D0"/>
    <w:rsid w:val="00F97FC7"/>
    <w:rsid w:val="00FA0A3B"/>
    <w:rsid w:val="00FA281B"/>
    <w:rsid w:val="00FA35B7"/>
    <w:rsid w:val="00FB06CE"/>
    <w:rsid w:val="00FB62A9"/>
    <w:rsid w:val="00FC5012"/>
    <w:rsid w:val="00FD0CBB"/>
    <w:rsid w:val="00FE2800"/>
    <w:rsid w:val="00FE3E8D"/>
    <w:rsid w:val="00FE6012"/>
    <w:rsid w:val="00FF2423"/>
    <w:rsid w:val="06F07C58"/>
    <w:rsid w:val="12280E57"/>
    <w:rsid w:val="1AAF5D6D"/>
    <w:rsid w:val="2A886554"/>
    <w:rsid w:val="3C3818D8"/>
    <w:rsid w:val="4EF30992"/>
    <w:rsid w:val="514606F1"/>
    <w:rsid w:val="78AC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56252E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56252E"/>
    <w:rPr>
      <w:sz w:val="18"/>
      <w:szCs w:val="18"/>
    </w:rPr>
  </w:style>
  <w:style w:type="character" w:styleId="a5">
    <w:name w:val="annotation reference"/>
    <w:basedOn w:val="a0"/>
    <w:uiPriority w:val="99"/>
    <w:semiHidden/>
    <w:qFormat/>
    <w:rsid w:val="0056252E"/>
    <w:rPr>
      <w:rFonts w:cs="Times New Roman"/>
      <w:sz w:val="21"/>
      <w:szCs w:val="21"/>
    </w:rPr>
  </w:style>
  <w:style w:type="paragraph" w:customStyle="1" w:styleId="1">
    <w:name w:val="列出段落1"/>
    <w:basedOn w:val="a"/>
    <w:uiPriority w:val="99"/>
    <w:qFormat/>
    <w:rsid w:val="0056252E"/>
    <w:pPr>
      <w:ind w:firstLineChars="200" w:firstLine="420"/>
    </w:pPr>
  </w:style>
  <w:style w:type="character" w:customStyle="1" w:styleId="14black1">
    <w:name w:val="14_black1"/>
    <w:basedOn w:val="a0"/>
    <w:uiPriority w:val="99"/>
    <w:qFormat/>
    <w:rsid w:val="0056252E"/>
    <w:rPr>
      <w:rFonts w:cs="Times New Roman"/>
      <w:color w:val="000000"/>
      <w:sz w:val="21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sid w:val="0056252E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56252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242</cp:revision>
  <dcterms:created xsi:type="dcterms:W3CDTF">2015-11-03T07:54:00Z</dcterms:created>
  <dcterms:modified xsi:type="dcterms:W3CDTF">2016-12-08T06:42:00Z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